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315" w:rsidRDefault="000D1315" w:rsidP="00E133B2">
      <w:pPr>
        <w:spacing w:line="480" w:lineRule="auto"/>
        <w:jc w:val="center"/>
        <w:rPr>
          <w:rFonts w:ascii="Times New Roman" w:hAnsi="Times New Roman" w:cs="Times New Roman"/>
          <w:sz w:val="24"/>
          <w:szCs w:val="24"/>
        </w:rPr>
      </w:pPr>
      <w:bookmarkStart w:id="0" w:name="_GoBack"/>
      <w:bookmarkEnd w:id="0"/>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7B4862" w:rsidRPr="000D1315" w:rsidRDefault="000D1315" w:rsidP="00E133B2">
      <w:pPr>
        <w:spacing w:line="480" w:lineRule="auto"/>
        <w:jc w:val="center"/>
        <w:rPr>
          <w:rFonts w:ascii="Times New Roman" w:hAnsi="Times New Roman" w:cs="Times New Roman"/>
          <w:sz w:val="24"/>
          <w:szCs w:val="24"/>
        </w:rPr>
      </w:pPr>
      <w:r w:rsidRPr="000D1315">
        <w:rPr>
          <w:rFonts w:ascii="Times New Roman" w:hAnsi="Times New Roman" w:cs="Times New Roman"/>
          <w:sz w:val="24"/>
          <w:szCs w:val="24"/>
        </w:rPr>
        <w:t>Question and answer</w:t>
      </w:r>
    </w:p>
    <w:p w:rsidR="000D1315" w:rsidRPr="000D1315" w:rsidRDefault="000D1315" w:rsidP="00E133B2">
      <w:pPr>
        <w:spacing w:line="480" w:lineRule="auto"/>
        <w:jc w:val="center"/>
        <w:rPr>
          <w:rFonts w:ascii="Times New Roman" w:hAnsi="Times New Roman" w:cs="Times New Roman"/>
          <w:sz w:val="24"/>
          <w:szCs w:val="24"/>
        </w:rPr>
      </w:pPr>
      <w:r w:rsidRPr="000D1315">
        <w:rPr>
          <w:rFonts w:ascii="Times New Roman" w:hAnsi="Times New Roman" w:cs="Times New Roman"/>
          <w:sz w:val="24"/>
          <w:szCs w:val="24"/>
        </w:rPr>
        <w:t>Student’s Name</w:t>
      </w:r>
    </w:p>
    <w:p w:rsidR="000D1315" w:rsidRDefault="000D1315" w:rsidP="00E133B2">
      <w:pPr>
        <w:spacing w:line="480" w:lineRule="auto"/>
        <w:jc w:val="center"/>
        <w:rPr>
          <w:rFonts w:ascii="Times New Roman" w:hAnsi="Times New Roman" w:cs="Times New Roman"/>
          <w:sz w:val="24"/>
          <w:szCs w:val="24"/>
        </w:rPr>
      </w:pPr>
      <w:r w:rsidRPr="000D1315">
        <w:rPr>
          <w:rFonts w:ascii="Times New Roman" w:hAnsi="Times New Roman" w:cs="Times New Roman"/>
          <w:sz w:val="24"/>
          <w:szCs w:val="24"/>
        </w:rPr>
        <w:t>Institutional Affiliation</w:t>
      </w: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0D1315" w:rsidRDefault="000D1315" w:rsidP="00E133B2">
      <w:pPr>
        <w:spacing w:line="480" w:lineRule="auto"/>
        <w:jc w:val="center"/>
        <w:rPr>
          <w:rFonts w:ascii="Times New Roman" w:hAnsi="Times New Roman" w:cs="Times New Roman"/>
          <w:sz w:val="24"/>
          <w:szCs w:val="24"/>
        </w:rPr>
      </w:pPr>
    </w:p>
    <w:p w:rsidR="00E133B2" w:rsidRDefault="00E133B2" w:rsidP="00E133B2">
      <w:pPr>
        <w:spacing w:line="480" w:lineRule="auto"/>
        <w:rPr>
          <w:rFonts w:ascii="Times New Roman" w:hAnsi="Times New Roman" w:cs="Times New Roman"/>
          <w:sz w:val="24"/>
          <w:szCs w:val="24"/>
        </w:rPr>
      </w:pPr>
    </w:p>
    <w:p w:rsidR="000D1315" w:rsidRPr="00D71C63" w:rsidRDefault="000D1315" w:rsidP="00DD6983">
      <w:pPr>
        <w:spacing w:line="480" w:lineRule="auto"/>
        <w:jc w:val="center"/>
        <w:rPr>
          <w:rFonts w:ascii="Times New Roman" w:hAnsi="Times New Roman" w:cs="Times New Roman"/>
          <w:b/>
          <w:sz w:val="24"/>
          <w:szCs w:val="24"/>
        </w:rPr>
      </w:pPr>
      <w:r w:rsidRPr="00D71C63">
        <w:rPr>
          <w:rFonts w:ascii="Times New Roman" w:hAnsi="Times New Roman" w:cs="Times New Roman"/>
          <w:b/>
          <w:sz w:val="24"/>
          <w:szCs w:val="24"/>
        </w:rPr>
        <w:lastRenderedPageBreak/>
        <w:t>Compare and contrast the features of common stock and preferred stock</w:t>
      </w:r>
    </w:p>
    <w:p w:rsidR="00D71C63" w:rsidRDefault="000E4302" w:rsidP="00E133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numerous similarities and differences between common stocks and preferred stocks. </w:t>
      </w:r>
      <w:r w:rsidR="004B1F85">
        <w:rPr>
          <w:rFonts w:ascii="Times New Roman" w:hAnsi="Times New Roman" w:cs="Times New Roman"/>
          <w:sz w:val="24"/>
          <w:szCs w:val="24"/>
        </w:rPr>
        <w:t>According to Smith (2015), b</w:t>
      </w:r>
      <w:r>
        <w:rPr>
          <w:rFonts w:ascii="Times New Roman" w:hAnsi="Times New Roman" w:cs="Times New Roman"/>
          <w:sz w:val="24"/>
          <w:szCs w:val="24"/>
        </w:rPr>
        <w:t xml:space="preserve">oth represent a piece of ownership in a company. </w:t>
      </w:r>
      <w:r w:rsidRPr="00B06C7C">
        <w:rPr>
          <w:rFonts w:ascii="Times New Roman" w:hAnsi="Times New Roman" w:cs="Times New Roman"/>
          <w:noProof/>
          <w:sz w:val="24"/>
          <w:szCs w:val="24"/>
        </w:rPr>
        <w:t>Also</w:t>
      </w:r>
      <w:r w:rsidR="00B06C7C">
        <w:rPr>
          <w:rFonts w:ascii="Times New Roman" w:hAnsi="Times New Roman" w:cs="Times New Roman"/>
          <w:noProof/>
          <w:sz w:val="24"/>
          <w:szCs w:val="24"/>
        </w:rPr>
        <w:t>,</w:t>
      </w:r>
      <w:r>
        <w:rPr>
          <w:rFonts w:ascii="Times New Roman" w:hAnsi="Times New Roman" w:cs="Times New Roman"/>
          <w:sz w:val="24"/>
          <w:szCs w:val="24"/>
        </w:rPr>
        <w:t xml:space="preserve"> both are tools investors can use to try to profit from the future successes of the business. One of the major difference between the two types of stock is </w:t>
      </w:r>
      <w:r w:rsidRPr="00B06C7C">
        <w:rPr>
          <w:rFonts w:ascii="Times New Roman" w:hAnsi="Times New Roman" w:cs="Times New Roman"/>
          <w:noProof/>
          <w:sz w:val="24"/>
          <w:szCs w:val="24"/>
        </w:rPr>
        <w:t>that holder</w:t>
      </w:r>
      <w:r>
        <w:rPr>
          <w:rFonts w:ascii="Times New Roman" w:hAnsi="Times New Roman" w:cs="Times New Roman"/>
          <w:sz w:val="24"/>
          <w:szCs w:val="24"/>
        </w:rPr>
        <w:t xml:space="preserve"> of common sto</w:t>
      </w:r>
      <w:r w:rsidR="00D71C63">
        <w:rPr>
          <w:rFonts w:ascii="Times New Roman" w:hAnsi="Times New Roman" w:cs="Times New Roman"/>
          <w:sz w:val="24"/>
          <w:szCs w:val="24"/>
        </w:rPr>
        <w:t>ck have voting rights while hold</w:t>
      </w:r>
      <w:r>
        <w:rPr>
          <w:rFonts w:ascii="Times New Roman" w:hAnsi="Times New Roman" w:cs="Times New Roman"/>
          <w:sz w:val="24"/>
          <w:szCs w:val="24"/>
        </w:rPr>
        <w:t xml:space="preserve">ers of preferred stock do not have such rights. </w:t>
      </w:r>
      <w:r w:rsidR="00D71C63">
        <w:rPr>
          <w:rFonts w:ascii="Times New Roman" w:hAnsi="Times New Roman" w:cs="Times New Roman"/>
          <w:sz w:val="24"/>
          <w:szCs w:val="24"/>
        </w:rPr>
        <w:t>Preferred</w:t>
      </w:r>
      <w:r>
        <w:rPr>
          <w:rFonts w:ascii="Times New Roman" w:hAnsi="Times New Roman" w:cs="Times New Roman"/>
          <w:sz w:val="24"/>
          <w:szCs w:val="24"/>
        </w:rPr>
        <w:t xml:space="preserve"> stockholders receive </w:t>
      </w:r>
      <w:r w:rsidR="00B06C7C">
        <w:rPr>
          <w:rFonts w:ascii="Times New Roman" w:hAnsi="Times New Roman" w:cs="Times New Roman"/>
          <w:sz w:val="24"/>
          <w:szCs w:val="24"/>
        </w:rPr>
        <w:t xml:space="preserve">a </w:t>
      </w:r>
      <w:r w:rsidRPr="00B06C7C">
        <w:rPr>
          <w:rFonts w:ascii="Times New Roman" w:hAnsi="Times New Roman" w:cs="Times New Roman"/>
          <w:noProof/>
          <w:sz w:val="24"/>
          <w:szCs w:val="24"/>
        </w:rPr>
        <w:t>fixed</w:t>
      </w:r>
      <w:r>
        <w:rPr>
          <w:rFonts w:ascii="Times New Roman" w:hAnsi="Times New Roman" w:cs="Times New Roman"/>
          <w:sz w:val="24"/>
          <w:szCs w:val="24"/>
        </w:rPr>
        <w:t xml:space="preserve"> dividend from the company </w:t>
      </w:r>
      <w:r w:rsidR="00D71C63">
        <w:rPr>
          <w:rFonts w:ascii="Times New Roman" w:hAnsi="Times New Roman" w:cs="Times New Roman"/>
          <w:sz w:val="24"/>
          <w:szCs w:val="24"/>
        </w:rPr>
        <w:t>whereas common shareholders may or may not receive dividends depending on the decisions by the board of directors.</w:t>
      </w:r>
    </w:p>
    <w:p w:rsidR="000D1315" w:rsidRDefault="00D71C63" w:rsidP="00CB634A">
      <w:pPr>
        <w:spacing w:line="480" w:lineRule="auto"/>
        <w:jc w:val="center"/>
        <w:rPr>
          <w:rFonts w:ascii="Times New Roman" w:hAnsi="Times New Roman" w:cs="Times New Roman"/>
          <w:b/>
          <w:sz w:val="24"/>
          <w:szCs w:val="24"/>
        </w:rPr>
      </w:pPr>
      <w:r w:rsidRPr="00D71C63">
        <w:rPr>
          <w:rFonts w:ascii="Times New Roman" w:hAnsi="Times New Roman" w:cs="Times New Roman"/>
          <w:b/>
          <w:sz w:val="24"/>
          <w:szCs w:val="24"/>
        </w:rPr>
        <w:t>Describe the characteristics of long-term debt</w:t>
      </w:r>
    </w:p>
    <w:p w:rsidR="00CA1CC3" w:rsidRDefault="004002B9" w:rsidP="00E133B2">
      <w:pPr>
        <w:spacing w:line="480" w:lineRule="auto"/>
        <w:ind w:firstLine="720"/>
        <w:rPr>
          <w:rFonts w:ascii="Arial" w:hAnsi="Arial" w:cs="Arial"/>
          <w:color w:val="222222"/>
          <w:shd w:val="clear" w:color="auto" w:fill="FFFFFF"/>
        </w:rPr>
      </w:pPr>
      <w:r w:rsidRPr="00B06C7C">
        <w:rPr>
          <w:rFonts w:ascii="Times New Roman" w:hAnsi="Times New Roman" w:cs="Times New Roman"/>
          <w:noProof/>
          <w:sz w:val="24"/>
          <w:szCs w:val="24"/>
        </w:rPr>
        <w:t>Long</w:t>
      </w:r>
      <w:r w:rsidR="00B06C7C">
        <w:rPr>
          <w:rFonts w:ascii="Times New Roman" w:hAnsi="Times New Roman" w:cs="Times New Roman"/>
          <w:noProof/>
          <w:sz w:val="24"/>
          <w:szCs w:val="24"/>
        </w:rPr>
        <w:t>-</w:t>
      </w:r>
      <w:r w:rsidRPr="00B06C7C">
        <w:rPr>
          <w:rFonts w:ascii="Times New Roman" w:hAnsi="Times New Roman" w:cs="Times New Roman"/>
          <w:noProof/>
          <w:sz w:val="24"/>
          <w:szCs w:val="24"/>
        </w:rPr>
        <w:t>term</w:t>
      </w:r>
      <w:r w:rsidRPr="00CA1CC3">
        <w:rPr>
          <w:rFonts w:ascii="Times New Roman" w:hAnsi="Times New Roman" w:cs="Times New Roman"/>
          <w:sz w:val="24"/>
          <w:szCs w:val="24"/>
        </w:rPr>
        <w:t xml:space="preserve"> debt usually has a higher principal balance than other debt obligations. This is because people </w:t>
      </w:r>
      <w:r w:rsidR="004B1F85">
        <w:rPr>
          <w:rFonts w:ascii="Times New Roman" w:hAnsi="Times New Roman" w:cs="Times New Roman"/>
          <w:sz w:val="24"/>
          <w:szCs w:val="24"/>
        </w:rPr>
        <w:t>cannot</w:t>
      </w:r>
      <w:r w:rsidR="001D36BC" w:rsidRPr="00CA1CC3">
        <w:rPr>
          <w:rFonts w:ascii="Times New Roman" w:hAnsi="Times New Roman" w:cs="Times New Roman"/>
          <w:sz w:val="24"/>
          <w:szCs w:val="24"/>
        </w:rPr>
        <w:t xml:space="preserve"> get long-term loans for smaller purchases</w:t>
      </w:r>
      <w:r w:rsidR="004B1F85" w:rsidRPr="004B1F85">
        <w:rPr>
          <w:rFonts w:ascii="Times New Roman" w:hAnsi="Times New Roman" w:cs="Times New Roman"/>
          <w:sz w:val="24"/>
          <w:szCs w:val="24"/>
        </w:rPr>
        <w:t xml:space="preserve"> </w:t>
      </w:r>
      <w:r w:rsidR="004B1F85">
        <w:rPr>
          <w:rFonts w:ascii="Times New Roman" w:hAnsi="Times New Roman" w:cs="Times New Roman"/>
          <w:sz w:val="24"/>
          <w:szCs w:val="24"/>
        </w:rPr>
        <w:t>(</w:t>
      </w:r>
      <w:r w:rsidR="004B1F85" w:rsidRPr="004B1F85">
        <w:rPr>
          <w:rFonts w:ascii="Times New Roman" w:hAnsi="Times New Roman" w:cs="Times New Roman"/>
          <w:sz w:val="24"/>
          <w:szCs w:val="24"/>
        </w:rPr>
        <w:t xml:space="preserve">Smith, </w:t>
      </w:r>
      <w:r w:rsidR="004B1F85">
        <w:rPr>
          <w:rFonts w:ascii="Times New Roman" w:hAnsi="Times New Roman" w:cs="Times New Roman"/>
          <w:sz w:val="24"/>
          <w:szCs w:val="24"/>
        </w:rPr>
        <w:t>2015).</w:t>
      </w:r>
      <w:r w:rsidR="001D36BC" w:rsidRPr="00CA1CC3">
        <w:rPr>
          <w:rFonts w:ascii="Times New Roman" w:hAnsi="Times New Roman" w:cs="Times New Roman"/>
          <w:sz w:val="24"/>
          <w:szCs w:val="24"/>
        </w:rPr>
        <w:t xml:space="preserve"> Another characteristic of long-term debts is that they usually come with lower interest rates than short-term loans. This is because car loans and mortgages are generally secured with the property as collateral to reduce the lender’s risk</w:t>
      </w:r>
      <w:r w:rsidR="00406B42" w:rsidRPr="00406B42">
        <w:rPr>
          <w:rFonts w:ascii="Times New Roman" w:hAnsi="Times New Roman" w:cs="Times New Roman"/>
          <w:sz w:val="24"/>
          <w:szCs w:val="24"/>
        </w:rPr>
        <w:t xml:space="preserve"> </w:t>
      </w:r>
      <w:r w:rsidR="00406B42">
        <w:rPr>
          <w:rFonts w:ascii="Times New Roman" w:hAnsi="Times New Roman" w:cs="Times New Roman"/>
          <w:sz w:val="24"/>
          <w:szCs w:val="24"/>
        </w:rPr>
        <w:t xml:space="preserve">(Smith, </w:t>
      </w:r>
      <w:r w:rsidR="00406B42" w:rsidRPr="00406B42">
        <w:rPr>
          <w:rFonts w:ascii="Times New Roman" w:hAnsi="Times New Roman" w:cs="Times New Roman"/>
          <w:sz w:val="24"/>
          <w:szCs w:val="24"/>
        </w:rPr>
        <w:t>2015). </w:t>
      </w:r>
      <w:r w:rsidR="001D36BC" w:rsidRPr="00CA1CC3">
        <w:rPr>
          <w:rFonts w:ascii="Times New Roman" w:hAnsi="Times New Roman" w:cs="Times New Roman"/>
          <w:sz w:val="24"/>
          <w:szCs w:val="24"/>
        </w:rPr>
        <w:t xml:space="preserve">Long-term debt is usually secured by some form of collateral such as a piece of land or a building. If the borrower defaults in paying the loan, the holder can recover </w:t>
      </w:r>
      <w:r w:rsidR="00CA1CC3" w:rsidRPr="00CA1CC3">
        <w:rPr>
          <w:rFonts w:ascii="Times New Roman" w:hAnsi="Times New Roman" w:cs="Times New Roman"/>
          <w:sz w:val="24"/>
          <w:szCs w:val="24"/>
        </w:rPr>
        <w:t xml:space="preserve">his money by </w:t>
      </w:r>
      <w:r w:rsidR="00CA1CC3" w:rsidRPr="00B06C7C">
        <w:rPr>
          <w:rFonts w:ascii="Times New Roman" w:hAnsi="Times New Roman" w:cs="Times New Roman"/>
          <w:noProof/>
          <w:sz w:val="24"/>
          <w:szCs w:val="24"/>
        </w:rPr>
        <w:t>disposing</w:t>
      </w:r>
      <w:r w:rsidR="00B06C7C">
        <w:rPr>
          <w:rFonts w:ascii="Times New Roman" w:hAnsi="Times New Roman" w:cs="Times New Roman"/>
          <w:noProof/>
          <w:sz w:val="24"/>
          <w:szCs w:val="24"/>
        </w:rPr>
        <w:t xml:space="preserve"> of</w:t>
      </w:r>
      <w:r w:rsidR="00CA1CC3" w:rsidRPr="00CA1CC3">
        <w:rPr>
          <w:rFonts w:ascii="Times New Roman" w:hAnsi="Times New Roman" w:cs="Times New Roman"/>
          <w:sz w:val="24"/>
          <w:szCs w:val="24"/>
        </w:rPr>
        <w:t xml:space="preserve"> the collateral.</w:t>
      </w:r>
      <w:r w:rsidR="00CA1CC3" w:rsidRPr="00CA1CC3">
        <w:rPr>
          <w:rFonts w:ascii="Arial" w:hAnsi="Arial" w:cs="Arial"/>
          <w:color w:val="222222"/>
          <w:shd w:val="clear" w:color="auto" w:fill="FFFFFF"/>
        </w:rPr>
        <w:t xml:space="preserve"> </w:t>
      </w:r>
    </w:p>
    <w:p w:rsidR="00D71C63" w:rsidRDefault="00CA1CC3" w:rsidP="00CB634A">
      <w:pPr>
        <w:spacing w:line="480" w:lineRule="auto"/>
        <w:jc w:val="center"/>
        <w:rPr>
          <w:rFonts w:ascii="Times New Roman" w:hAnsi="Times New Roman" w:cs="Times New Roman"/>
          <w:b/>
          <w:sz w:val="24"/>
          <w:szCs w:val="24"/>
        </w:rPr>
      </w:pPr>
      <w:r w:rsidRPr="00CA1CC3">
        <w:rPr>
          <w:rFonts w:ascii="Times New Roman" w:hAnsi="Times New Roman" w:cs="Times New Roman"/>
          <w:b/>
          <w:sz w:val="24"/>
          <w:szCs w:val="24"/>
        </w:rPr>
        <w:t>Describe the sta</w:t>
      </w:r>
      <w:r>
        <w:rPr>
          <w:rFonts w:ascii="Times New Roman" w:hAnsi="Times New Roman" w:cs="Times New Roman"/>
          <w:b/>
          <w:sz w:val="24"/>
          <w:szCs w:val="24"/>
        </w:rPr>
        <w:t>ges in venture capital financing</w:t>
      </w:r>
    </w:p>
    <w:p w:rsidR="00CA1CC3" w:rsidRDefault="00F42A12" w:rsidP="00E133B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There are five stages of any venture capital financing.</w:t>
      </w:r>
      <w:r w:rsidR="00B8615F">
        <w:rPr>
          <w:rFonts w:ascii="Times New Roman" w:hAnsi="Times New Roman" w:cs="Times New Roman"/>
          <w:sz w:val="24"/>
          <w:szCs w:val="24"/>
        </w:rPr>
        <w:t xml:space="preserve"> </w:t>
      </w:r>
      <w:r w:rsidR="00CA1CC3" w:rsidRPr="00F42A12">
        <w:rPr>
          <w:rFonts w:ascii="Times New Roman" w:hAnsi="Times New Roman" w:cs="Times New Roman"/>
          <w:sz w:val="24"/>
          <w:szCs w:val="24"/>
        </w:rPr>
        <w:t xml:space="preserve">The first stage of in venture capital financing is the seed stage. During this stage, the company has just started and there is a possibility that </w:t>
      </w:r>
      <w:r w:rsidR="00C4043D" w:rsidRPr="00F42A12">
        <w:rPr>
          <w:rFonts w:ascii="Times New Roman" w:hAnsi="Times New Roman" w:cs="Times New Roman"/>
          <w:sz w:val="24"/>
          <w:szCs w:val="24"/>
        </w:rPr>
        <w:t xml:space="preserve">the company does not have a product or service that is ready for commercial rollout. Investments in this stage are used for projects such as developing a product and performing market research. The second stage is the early stage and at this </w:t>
      </w:r>
      <w:r w:rsidR="00C4043D" w:rsidRPr="00B06C7C">
        <w:rPr>
          <w:rFonts w:ascii="Times New Roman" w:hAnsi="Times New Roman" w:cs="Times New Roman"/>
          <w:noProof/>
          <w:sz w:val="24"/>
          <w:szCs w:val="24"/>
        </w:rPr>
        <w:t>stage</w:t>
      </w:r>
      <w:r w:rsidR="00B06C7C">
        <w:rPr>
          <w:rFonts w:ascii="Times New Roman" w:hAnsi="Times New Roman" w:cs="Times New Roman"/>
          <w:noProof/>
          <w:sz w:val="24"/>
          <w:szCs w:val="24"/>
        </w:rPr>
        <w:t>,</w:t>
      </w:r>
      <w:r w:rsidR="00C4043D" w:rsidRPr="00F42A12">
        <w:rPr>
          <w:rFonts w:ascii="Times New Roman" w:hAnsi="Times New Roman" w:cs="Times New Roman"/>
          <w:sz w:val="24"/>
          <w:szCs w:val="24"/>
        </w:rPr>
        <w:t xml:space="preserve"> the company </w:t>
      </w:r>
      <w:r w:rsidR="00C4043D" w:rsidRPr="00F42A12">
        <w:rPr>
          <w:rFonts w:ascii="Times New Roman" w:hAnsi="Times New Roman" w:cs="Times New Roman"/>
          <w:sz w:val="24"/>
          <w:szCs w:val="24"/>
        </w:rPr>
        <w:lastRenderedPageBreak/>
        <w:t>has begun its operations but it may still not be ready to manufacture or sell a product. The aim of financing this stage is to increase the company’s capabilities</w:t>
      </w:r>
      <w:r w:rsidR="007F18D9" w:rsidRPr="007F18D9">
        <w:rPr>
          <w:rFonts w:ascii="Times New Roman" w:hAnsi="Times New Roman" w:cs="Times New Roman"/>
          <w:sz w:val="24"/>
          <w:szCs w:val="24"/>
        </w:rPr>
        <w:t xml:space="preserve"> </w:t>
      </w:r>
      <w:r w:rsidR="007F18D9">
        <w:rPr>
          <w:rFonts w:ascii="Times New Roman" w:hAnsi="Times New Roman" w:cs="Times New Roman"/>
          <w:sz w:val="24"/>
          <w:szCs w:val="24"/>
        </w:rPr>
        <w:t xml:space="preserve">(Manigart &amp; Sapienza, </w:t>
      </w:r>
      <w:r w:rsidR="007F18D9" w:rsidRPr="007F18D9">
        <w:rPr>
          <w:rFonts w:ascii="Times New Roman" w:hAnsi="Times New Roman" w:cs="Times New Roman"/>
          <w:sz w:val="24"/>
          <w:szCs w:val="24"/>
        </w:rPr>
        <w:t>2017).</w:t>
      </w:r>
      <w:r w:rsidR="00C4043D" w:rsidRPr="00F42A12">
        <w:rPr>
          <w:rFonts w:ascii="Times New Roman" w:hAnsi="Times New Roman" w:cs="Times New Roman"/>
          <w:sz w:val="24"/>
          <w:szCs w:val="24"/>
        </w:rPr>
        <w:t xml:space="preserve"> The next stage is the first stage. Funding in this stage is will often go towards manufacturing and production facilities sales and marketing. The expansion stage follows the first stage and at this stage, growth is often exponential. Venture funding for this stage </w:t>
      </w:r>
      <w:r w:rsidR="00C4043D" w:rsidRPr="00B06C7C">
        <w:rPr>
          <w:rFonts w:ascii="Times New Roman" w:hAnsi="Times New Roman" w:cs="Times New Roman"/>
          <w:noProof/>
          <w:sz w:val="24"/>
          <w:szCs w:val="24"/>
        </w:rPr>
        <w:t>typically serves</w:t>
      </w:r>
      <w:r w:rsidR="00C4043D" w:rsidRPr="00F42A12">
        <w:rPr>
          <w:rFonts w:ascii="Times New Roman" w:hAnsi="Times New Roman" w:cs="Times New Roman"/>
          <w:sz w:val="24"/>
          <w:szCs w:val="24"/>
        </w:rPr>
        <w:t xml:space="preserve"> as fuel for the fire, which enables expansion to additional markets and diversification and differentiation of products.</w:t>
      </w:r>
      <w:r w:rsidR="006046AA" w:rsidRPr="00F42A12">
        <w:rPr>
          <w:rFonts w:ascii="Times New Roman" w:hAnsi="Times New Roman" w:cs="Times New Roman"/>
          <w:sz w:val="24"/>
          <w:szCs w:val="24"/>
        </w:rPr>
        <w:t xml:space="preserve"> The bridge stage is the final stage of venture capital financing and it is the stage when companies have reached maturity. </w:t>
      </w:r>
      <w:r w:rsidR="00BF12AD">
        <w:rPr>
          <w:rFonts w:ascii="Times New Roman" w:hAnsi="Times New Roman" w:cs="Times New Roman"/>
          <w:sz w:val="24"/>
          <w:szCs w:val="24"/>
        </w:rPr>
        <w:t xml:space="preserve">According to </w:t>
      </w:r>
      <w:r w:rsidR="00BF12AD" w:rsidRPr="00BF12AD">
        <w:rPr>
          <w:rFonts w:ascii="Times New Roman" w:hAnsi="Times New Roman" w:cs="Times New Roman"/>
          <w:sz w:val="24"/>
          <w:szCs w:val="24"/>
        </w:rPr>
        <w:t xml:space="preserve">Manigart &amp; Sapienza, </w:t>
      </w:r>
      <w:r w:rsidR="00BF12AD">
        <w:rPr>
          <w:rFonts w:ascii="Times New Roman" w:hAnsi="Times New Roman" w:cs="Times New Roman"/>
          <w:sz w:val="24"/>
          <w:szCs w:val="24"/>
        </w:rPr>
        <w:t>(2017), f</w:t>
      </w:r>
      <w:r w:rsidR="006046AA" w:rsidRPr="00F42A12">
        <w:rPr>
          <w:rFonts w:ascii="Times New Roman" w:hAnsi="Times New Roman" w:cs="Times New Roman"/>
          <w:sz w:val="24"/>
          <w:szCs w:val="24"/>
        </w:rPr>
        <w:t>unding obtained for this stage is used to support activities like acquisitions and mergers and for price reductions/other measures to drive out competitors</w:t>
      </w:r>
      <w:r w:rsidR="006046AA">
        <w:rPr>
          <w:rFonts w:ascii="Times New Roman" w:hAnsi="Times New Roman" w:cs="Times New Roman"/>
          <w:b/>
          <w:sz w:val="24"/>
          <w:szCs w:val="24"/>
        </w:rPr>
        <w:t>.</w:t>
      </w:r>
    </w:p>
    <w:p w:rsidR="00CA1CC3" w:rsidRDefault="00B8615F" w:rsidP="00CD17E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w:t>
      </w:r>
      <w:r w:rsidRPr="00B8615F">
        <w:rPr>
          <w:rFonts w:ascii="Times New Roman" w:hAnsi="Times New Roman" w:cs="Times New Roman"/>
          <w:b/>
          <w:sz w:val="24"/>
          <w:szCs w:val="24"/>
        </w:rPr>
        <w:t>ethods used to issue new securities</w:t>
      </w:r>
    </w:p>
    <w:p w:rsidR="00B8615F" w:rsidRPr="00B8615F" w:rsidRDefault="00B8615F" w:rsidP="00E133B2">
      <w:pPr>
        <w:spacing w:line="480" w:lineRule="auto"/>
        <w:rPr>
          <w:rFonts w:ascii="Times New Roman" w:hAnsi="Times New Roman" w:cs="Times New Roman"/>
          <w:b/>
          <w:sz w:val="24"/>
          <w:szCs w:val="24"/>
        </w:rPr>
      </w:pPr>
      <w:r w:rsidRPr="008C0319">
        <w:rPr>
          <w:rFonts w:ascii="Times New Roman" w:hAnsi="Times New Roman" w:cs="Times New Roman"/>
          <w:sz w:val="24"/>
          <w:szCs w:val="24"/>
        </w:rPr>
        <w:t>Some of the major methods of issuing corporate securities include Initial Public Offer (IPO), Private Placement, Sale</w:t>
      </w:r>
      <w:r w:rsidR="009C16AE" w:rsidRPr="008C0319">
        <w:rPr>
          <w:rFonts w:ascii="Times New Roman" w:hAnsi="Times New Roman" w:cs="Times New Roman"/>
          <w:sz w:val="24"/>
          <w:szCs w:val="24"/>
        </w:rPr>
        <w:t xml:space="preserve"> through Intermediaries, Offer for Sale and Sale through Managing Brokers</w:t>
      </w:r>
      <w:r w:rsidR="00195D2F" w:rsidRPr="008C0319">
        <w:rPr>
          <w:rFonts w:ascii="Times New Roman" w:hAnsi="Times New Roman" w:cs="Times New Roman"/>
          <w:sz w:val="24"/>
          <w:szCs w:val="24"/>
        </w:rPr>
        <w:t>. Offers for sale is a method which involves a corporation selling a new issue of share to an issuing house, and the issuing house is the one which will bear the risks of selling shares to other investors. Private placement involves an issue of new shares to financial institutions rather than making invitations to the general public to subscribe to shares</w:t>
      </w:r>
      <w:r w:rsidR="001C762C" w:rsidRPr="001C762C">
        <w:rPr>
          <w:rFonts w:ascii="Times New Roman" w:hAnsi="Times New Roman" w:cs="Times New Roman"/>
          <w:sz w:val="24"/>
          <w:szCs w:val="24"/>
        </w:rPr>
        <w:t xml:space="preserve"> </w:t>
      </w:r>
      <w:r w:rsidR="001C762C">
        <w:rPr>
          <w:rFonts w:ascii="Times New Roman" w:hAnsi="Times New Roman" w:cs="Times New Roman"/>
          <w:sz w:val="24"/>
          <w:szCs w:val="24"/>
        </w:rPr>
        <w:t>(</w:t>
      </w:r>
      <w:r w:rsidR="001C762C" w:rsidRPr="001C762C">
        <w:rPr>
          <w:rFonts w:ascii="Times New Roman" w:hAnsi="Times New Roman" w:cs="Times New Roman"/>
          <w:sz w:val="24"/>
          <w:szCs w:val="24"/>
        </w:rPr>
        <w:t>Smith, 2015).</w:t>
      </w:r>
      <w:r w:rsidR="001C762C">
        <w:rPr>
          <w:rFonts w:ascii="Times New Roman" w:hAnsi="Times New Roman" w:cs="Times New Roman"/>
          <w:sz w:val="24"/>
          <w:szCs w:val="24"/>
        </w:rPr>
        <w:t xml:space="preserve"> </w:t>
      </w:r>
      <w:r w:rsidR="00195D2F" w:rsidRPr="008C0319">
        <w:rPr>
          <w:rFonts w:ascii="Times New Roman" w:hAnsi="Times New Roman" w:cs="Times New Roman"/>
          <w:sz w:val="24"/>
          <w:szCs w:val="24"/>
        </w:rPr>
        <w:t>In Initial</w:t>
      </w:r>
      <w:r w:rsidR="00195D2F">
        <w:rPr>
          <w:rFonts w:ascii="Times New Roman" w:hAnsi="Times New Roman" w:cs="Times New Roman"/>
          <w:b/>
          <w:sz w:val="24"/>
          <w:szCs w:val="24"/>
        </w:rPr>
        <w:t xml:space="preserve"> </w:t>
      </w:r>
      <w:r w:rsidR="00195D2F" w:rsidRPr="00E133B2">
        <w:rPr>
          <w:rFonts w:ascii="Times New Roman" w:hAnsi="Times New Roman" w:cs="Times New Roman"/>
          <w:sz w:val="24"/>
          <w:szCs w:val="24"/>
        </w:rPr>
        <w:t>Public Offer</w:t>
      </w:r>
      <w:r w:rsidR="00195D2F">
        <w:rPr>
          <w:rFonts w:ascii="Times New Roman" w:hAnsi="Times New Roman" w:cs="Times New Roman"/>
          <w:b/>
          <w:sz w:val="24"/>
          <w:szCs w:val="24"/>
        </w:rPr>
        <w:t xml:space="preserve"> </w:t>
      </w:r>
      <w:r w:rsidR="00195D2F" w:rsidRPr="00E133B2">
        <w:rPr>
          <w:rFonts w:ascii="Times New Roman" w:hAnsi="Times New Roman" w:cs="Times New Roman"/>
          <w:sz w:val="24"/>
          <w:szCs w:val="24"/>
        </w:rPr>
        <w:t xml:space="preserve">(IPO), the company issues </w:t>
      </w:r>
      <w:r w:rsidR="008C0319" w:rsidRPr="00E133B2">
        <w:rPr>
          <w:rFonts w:ascii="Times New Roman" w:hAnsi="Times New Roman" w:cs="Times New Roman"/>
          <w:sz w:val="24"/>
          <w:szCs w:val="24"/>
        </w:rPr>
        <w:t>a prospectus to the public inviting</w:t>
      </w:r>
      <w:r w:rsidR="008C0319">
        <w:rPr>
          <w:rFonts w:ascii="Times New Roman" w:hAnsi="Times New Roman" w:cs="Times New Roman"/>
          <w:b/>
          <w:sz w:val="24"/>
          <w:szCs w:val="24"/>
        </w:rPr>
        <w:t xml:space="preserve"> </w:t>
      </w:r>
      <w:r w:rsidR="008C0319" w:rsidRPr="008C0319">
        <w:rPr>
          <w:rFonts w:ascii="Times New Roman" w:hAnsi="Times New Roman" w:cs="Times New Roman"/>
          <w:sz w:val="24"/>
          <w:szCs w:val="24"/>
        </w:rPr>
        <w:t xml:space="preserve">offers for </w:t>
      </w:r>
      <w:r w:rsidR="00B06C7C">
        <w:rPr>
          <w:rFonts w:ascii="Times New Roman" w:hAnsi="Times New Roman" w:cs="Times New Roman"/>
          <w:sz w:val="24"/>
          <w:szCs w:val="24"/>
        </w:rPr>
        <w:t xml:space="preserve">a </w:t>
      </w:r>
      <w:r w:rsidR="008C0319" w:rsidRPr="00B06C7C">
        <w:rPr>
          <w:rFonts w:ascii="Times New Roman" w:hAnsi="Times New Roman" w:cs="Times New Roman"/>
          <w:noProof/>
          <w:sz w:val="24"/>
          <w:szCs w:val="24"/>
        </w:rPr>
        <w:t>subscription</w:t>
      </w:r>
      <w:r w:rsidR="008C0319" w:rsidRPr="008C0319">
        <w:rPr>
          <w:rFonts w:ascii="Times New Roman" w:hAnsi="Times New Roman" w:cs="Times New Roman"/>
          <w:sz w:val="24"/>
          <w:szCs w:val="24"/>
        </w:rPr>
        <w:t>. Investors willing to buy the securities apply for the securities they want to buy.</w:t>
      </w:r>
    </w:p>
    <w:p w:rsidR="00D71C63" w:rsidRPr="00E133B2" w:rsidRDefault="004B1F85" w:rsidP="004B1F85">
      <w:pPr>
        <w:tabs>
          <w:tab w:val="left" w:pos="100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R</w:t>
      </w:r>
      <w:r w:rsidR="008C0319" w:rsidRPr="00E133B2">
        <w:rPr>
          <w:rFonts w:ascii="Times New Roman" w:hAnsi="Times New Roman" w:cs="Times New Roman"/>
          <w:b/>
          <w:sz w:val="24"/>
          <w:szCs w:val="24"/>
        </w:rPr>
        <w:t>ole of investment banks in the underwriting process</w:t>
      </w:r>
    </w:p>
    <w:p w:rsidR="008C0319" w:rsidRDefault="00E133B2" w:rsidP="00E133B2">
      <w:pPr>
        <w:tabs>
          <w:tab w:val="left" w:pos="10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C0319">
        <w:rPr>
          <w:rFonts w:ascii="Times New Roman" w:hAnsi="Times New Roman" w:cs="Times New Roman"/>
          <w:sz w:val="24"/>
          <w:szCs w:val="24"/>
        </w:rPr>
        <w:t>One of the roles of investment banks is underwriting new stock issues.</w:t>
      </w:r>
      <w:r w:rsidR="00681D3D">
        <w:rPr>
          <w:rFonts w:ascii="Times New Roman" w:hAnsi="Times New Roman" w:cs="Times New Roman"/>
          <w:sz w:val="24"/>
          <w:szCs w:val="24"/>
        </w:rPr>
        <w:t xml:space="preserve"> In this role, investment banks serve as an intermediary between corporations and investors through initial </w:t>
      </w:r>
      <w:r w:rsidR="00681D3D">
        <w:rPr>
          <w:rFonts w:ascii="Times New Roman" w:hAnsi="Times New Roman" w:cs="Times New Roman"/>
          <w:sz w:val="24"/>
          <w:szCs w:val="24"/>
        </w:rPr>
        <w:lastRenderedPageBreak/>
        <w:t>public offers (IPOs). Investment banks provide underwriting services for new stock issues when a company decides to seek equity funding in public</w:t>
      </w:r>
      <w:r w:rsidR="00A535C4" w:rsidRPr="00A535C4">
        <w:rPr>
          <w:rFonts w:ascii="Times New Roman" w:hAnsi="Times New Roman" w:cs="Times New Roman"/>
          <w:sz w:val="24"/>
          <w:szCs w:val="24"/>
        </w:rPr>
        <w:t xml:space="preserve"> </w:t>
      </w:r>
      <w:r w:rsidR="00A535C4">
        <w:rPr>
          <w:rFonts w:ascii="Times New Roman" w:hAnsi="Times New Roman" w:cs="Times New Roman"/>
          <w:sz w:val="24"/>
          <w:szCs w:val="24"/>
        </w:rPr>
        <w:t xml:space="preserve">(Means, 2017). </w:t>
      </w:r>
      <w:r w:rsidR="00681D3D">
        <w:rPr>
          <w:rFonts w:ascii="Times New Roman" w:hAnsi="Times New Roman" w:cs="Times New Roman"/>
          <w:sz w:val="24"/>
          <w:szCs w:val="24"/>
        </w:rPr>
        <w:t xml:space="preserve">Underwriting involves the investment bank purchasing an agreed upon </w:t>
      </w:r>
      <w:r w:rsidR="00B06C7C">
        <w:rPr>
          <w:rFonts w:ascii="Times New Roman" w:hAnsi="Times New Roman" w:cs="Times New Roman"/>
          <w:sz w:val="24"/>
          <w:szCs w:val="24"/>
        </w:rPr>
        <w:t xml:space="preserve">a </w:t>
      </w:r>
      <w:r w:rsidR="00681D3D" w:rsidRPr="00B06C7C">
        <w:rPr>
          <w:rFonts w:ascii="Times New Roman" w:hAnsi="Times New Roman" w:cs="Times New Roman"/>
          <w:noProof/>
          <w:sz w:val="24"/>
          <w:szCs w:val="24"/>
        </w:rPr>
        <w:t>number</w:t>
      </w:r>
      <w:r w:rsidR="00681D3D">
        <w:rPr>
          <w:rFonts w:ascii="Times New Roman" w:hAnsi="Times New Roman" w:cs="Times New Roman"/>
          <w:sz w:val="24"/>
          <w:szCs w:val="24"/>
        </w:rPr>
        <w:t xml:space="preserve"> of shares of the new s</w:t>
      </w:r>
      <w:r w:rsidR="0021500A">
        <w:rPr>
          <w:rFonts w:ascii="Times New Roman" w:hAnsi="Times New Roman" w:cs="Times New Roman"/>
          <w:sz w:val="24"/>
          <w:szCs w:val="24"/>
        </w:rPr>
        <w:t>tock after which it resells thr</w:t>
      </w:r>
      <w:r w:rsidR="00681D3D">
        <w:rPr>
          <w:rFonts w:ascii="Times New Roman" w:hAnsi="Times New Roman" w:cs="Times New Roman"/>
          <w:sz w:val="24"/>
          <w:szCs w:val="24"/>
        </w:rPr>
        <w:t xml:space="preserve">ough a stock exchange. One role the roles of </w:t>
      </w:r>
      <w:r w:rsidR="00B06C7C">
        <w:rPr>
          <w:rFonts w:ascii="Times New Roman" w:hAnsi="Times New Roman" w:cs="Times New Roman"/>
          <w:sz w:val="24"/>
          <w:szCs w:val="24"/>
        </w:rPr>
        <w:t xml:space="preserve">an </w:t>
      </w:r>
      <w:r w:rsidR="00681D3D" w:rsidRPr="00B06C7C">
        <w:rPr>
          <w:rFonts w:ascii="Times New Roman" w:hAnsi="Times New Roman" w:cs="Times New Roman"/>
          <w:noProof/>
          <w:sz w:val="24"/>
          <w:szCs w:val="24"/>
        </w:rPr>
        <w:t>investment</w:t>
      </w:r>
      <w:r w:rsidR="00681D3D">
        <w:rPr>
          <w:rFonts w:ascii="Times New Roman" w:hAnsi="Times New Roman" w:cs="Times New Roman"/>
          <w:sz w:val="24"/>
          <w:szCs w:val="24"/>
        </w:rPr>
        <w:t xml:space="preserve"> bank is to determine a reasonable price at which to offer stock shares. IPOs involve multiple investment banks which </w:t>
      </w:r>
      <w:r w:rsidR="00681D3D" w:rsidRPr="00B06C7C">
        <w:rPr>
          <w:rFonts w:ascii="Times New Roman" w:hAnsi="Times New Roman" w:cs="Times New Roman"/>
          <w:noProof/>
          <w:sz w:val="24"/>
          <w:szCs w:val="24"/>
        </w:rPr>
        <w:t>enable</w:t>
      </w:r>
      <w:r w:rsidR="00681D3D">
        <w:rPr>
          <w:rFonts w:ascii="Times New Roman" w:hAnsi="Times New Roman" w:cs="Times New Roman"/>
          <w:sz w:val="24"/>
          <w:szCs w:val="24"/>
        </w:rPr>
        <w:t xml:space="preserve"> the risk of underwriting to spread across several banks reducing the exposure of any single bank. Investment banks also act as underwriters for corporate bond issues</w:t>
      </w:r>
      <w:r w:rsidR="00494669" w:rsidRPr="00494669">
        <w:rPr>
          <w:rFonts w:ascii="Times New Roman" w:hAnsi="Times New Roman" w:cs="Times New Roman"/>
          <w:sz w:val="24"/>
          <w:szCs w:val="24"/>
        </w:rPr>
        <w:t xml:space="preserve"> </w:t>
      </w:r>
      <w:r w:rsidR="00494669">
        <w:rPr>
          <w:rFonts w:ascii="Times New Roman" w:hAnsi="Times New Roman" w:cs="Times New Roman"/>
          <w:sz w:val="24"/>
          <w:szCs w:val="24"/>
        </w:rPr>
        <w:t>(Brigham, et al</w:t>
      </w:r>
      <w:r w:rsidR="00681D3D">
        <w:rPr>
          <w:rFonts w:ascii="Times New Roman" w:hAnsi="Times New Roman" w:cs="Times New Roman"/>
          <w:sz w:val="24"/>
          <w:szCs w:val="24"/>
        </w:rPr>
        <w:t>.</w:t>
      </w:r>
      <w:r w:rsidR="00494669">
        <w:rPr>
          <w:rFonts w:ascii="Times New Roman" w:hAnsi="Times New Roman" w:cs="Times New Roman"/>
          <w:sz w:val="24"/>
          <w:szCs w:val="24"/>
        </w:rPr>
        <w:t>, 2016).</w:t>
      </w:r>
    </w:p>
    <w:p w:rsidR="008C0319" w:rsidRPr="00EA7935" w:rsidRDefault="004B1F85" w:rsidP="00CD17E0">
      <w:pPr>
        <w:tabs>
          <w:tab w:val="left" w:pos="100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C</w:t>
      </w:r>
      <w:r w:rsidR="00EA7935" w:rsidRPr="00EA7935">
        <w:rPr>
          <w:rFonts w:ascii="Times New Roman" w:hAnsi="Times New Roman" w:cs="Times New Roman"/>
          <w:b/>
          <w:sz w:val="24"/>
          <w:szCs w:val="24"/>
        </w:rPr>
        <w:t>haracteristics</w:t>
      </w:r>
      <w:r w:rsidR="00B06C7C">
        <w:rPr>
          <w:rFonts w:ascii="Times New Roman" w:hAnsi="Times New Roman" w:cs="Times New Roman"/>
          <w:b/>
          <w:sz w:val="24"/>
          <w:szCs w:val="24"/>
        </w:rPr>
        <w:t xml:space="preserve"> of</w:t>
      </w:r>
      <w:r w:rsidR="00934E88">
        <w:rPr>
          <w:rFonts w:ascii="Times New Roman" w:hAnsi="Times New Roman" w:cs="Times New Roman"/>
          <w:b/>
          <w:sz w:val="24"/>
          <w:szCs w:val="24"/>
        </w:rPr>
        <w:t xml:space="preserve"> cash cycle and</w:t>
      </w:r>
      <w:r w:rsidR="00B06C7C">
        <w:rPr>
          <w:rFonts w:ascii="Times New Roman" w:hAnsi="Times New Roman" w:cs="Times New Roman"/>
          <w:b/>
          <w:sz w:val="24"/>
          <w:szCs w:val="24"/>
        </w:rPr>
        <w:t xml:space="preserve"> </w:t>
      </w:r>
      <w:r w:rsidR="00EA7935" w:rsidRPr="00B06C7C">
        <w:rPr>
          <w:rFonts w:ascii="Times New Roman" w:hAnsi="Times New Roman" w:cs="Times New Roman"/>
          <w:b/>
          <w:noProof/>
          <w:sz w:val="24"/>
          <w:szCs w:val="24"/>
        </w:rPr>
        <w:t>operating</w:t>
      </w:r>
      <w:r w:rsidR="00EA7935" w:rsidRPr="00EA7935">
        <w:rPr>
          <w:rFonts w:ascii="Times New Roman" w:hAnsi="Times New Roman" w:cs="Times New Roman"/>
          <w:b/>
          <w:sz w:val="24"/>
          <w:szCs w:val="24"/>
        </w:rPr>
        <w:t xml:space="preserve"> cycle </w:t>
      </w:r>
    </w:p>
    <w:p w:rsidR="00EA7935" w:rsidRDefault="00DD6983" w:rsidP="00E133B2">
      <w:pPr>
        <w:tabs>
          <w:tab w:val="left" w:pos="10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A7935">
        <w:rPr>
          <w:rFonts w:ascii="Times New Roman" w:hAnsi="Times New Roman" w:cs="Times New Roman"/>
          <w:sz w:val="24"/>
          <w:szCs w:val="24"/>
        </w:rPr>
        <w:t>The beginning of the cash cycle is when you invest money in your business and purchase inputs and raw materials to begin the production process.</w:t>
      </w:r>
      <w:r w:rsidR="004B1F85">
        <w:rPr>
          <w:rFonts w:ascii="Times New Roman" w:hAnsi="Times New Roman" w:cs="Times New Roman"/>
          <w:sz w:val="24"/>
          <w:szCs w:val="24"/>
        </w:rPr>
        <w:t xml:space="preserve"> Thus, a</w:t>
      </w:r>
      <w:r w:rsidR="00EA7935">
        <w:rPr>
          <w:rFonts w:ascii="Times New Roman" w:hAnsi="Times New Roman" w:cs="Times New Roman"/>
          <w:sz w:val="24"/>
          <w:szCs w:val="24"/>
        </w:rPr>
        <w:t>s long as the money is invested, it remains a part of the cash cycle. The cash cycle takes into account the time it takes to manufacture products and the time it is ready for sale. The time the product stays in storage until it is sold is also part of the cash cycle. The cash cycle ends when you receive cash</w:t>
      </w:r>
      <w:r w:rsidR="008C4383" w:rsidRPr="008C4383">
        <w:rPr>
          <w:rFonts w:ascii="Times New Roman" w:hAnsi="Times New Roman" w:cs="Times New Roman"/>
          <w:sz w:val="24"/>
          <w:szCs w:val="24"/>
        </w:rPr>
        <w:t xml:space="preserve"> </w:t>
      </w:r>
      <w:r w:rsidR="008C4383">
        <w:rPr>
          <w:rFonts w:ascii="Times New Roman" w:hAnsi="Times New Roman" w:cs="Times New Roman"/>
          <w:sz w:val="24"/>
          <w:szCs w:val="24"/>
        </w:rPr>
        <w:t>(Wang et al., 2014).</w:t>
      </w:r>
    </w:p>
    <w:p w:rsidR="00604048" w:rsidRDefault="00DD6983" w:rsidP="00E133B2">
      <w:pPr>
        <w:tabs>
          <w:tab w:val="left" w:pos="10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04048">
        <w:rPr>
          <w:rFonts w:ascii="Times New Roman" w:hAnsi="Times New Roman" w:cs="Times New Roman"/>
          <w:sz w:val="24"/>
          <w:szCs w:val="24"/>
        </w:rPr>
        <w:t>One of the characteristics of operating cycles is that it kicks off when you purchase raw materials and pay wages and other expenses which are needed for production. It is calculated by considering the time it takes to convert raw materials to finished products. A short operating cycle means a more prompt return on an investment for a firm’</w:t>
      </w:r>
      <w:r w:rsidR="008C4383">
        <w:rPr>
          <w:rFonts w:ascii="Times New Roman" w:hAnsi="Times New Roman" w:cs="Times New Roman"/>
          <w:sz w:val="24"/>
          <w:szCs w:val="24"/>
        </w:rPr>
        <w:t>s inventory</w:t>
      </w:r>
      <w:r w:rsidR="008C4383" w:rsidRPr="008C4383">
        <w:rPr>
          <w:rFonts w:ascii="Times New Roman" w:hAnsi="Times New Roman" w:cs="Times New Roman"/>
          <w:sz w:val="24"/>
          <w:szCs w:val="24"/>
        </w:rPr>
        <w:t xml:space="preserve"> </w:t>
      </w:r>
      <w:r w:rsidR="008C4383">
        <w:rPr>
          <w:rFonts w:ascii="Times New Roman" w:hAnsi="Times New Roman" w:cs="Times New Roman"/>
          <w:sz w:val="24"/>
          <w:szCs w:val="24"/>
        </w:rPr>
        <w:t>(</w:t>
      </w:r>
      <w:r w:rsidR="008C4383" w:rsidRPr="008C4383">
        <w:rPr>
          <w:rFonts w:ascii="Times New Roman" w:hAnsi="Times New Roman" w:cs="Times New Roman"/>
          <w:sz w:val="24"/>
          <w:szCs w:val="24"/>
        </w:rPr>
        <w:t>Wang et al., 2014).</w:t>
      </w:r>
    </w:p>
    <w:p w:rsidR="00604048" w:rsidRPr="00DD6983" w:rsidRDefault="00CE117E" w:rsidP="00CD17E0">
      <w:pPr>
        <w:tabs>
          <w:tab w:val="left" w:pos="100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H</w:t>
      </w:r>
      <w:r w:rsidR="00AF7F5C">
        <w:rPr>
          <w:rFonts w:ascii="Times New Roman" w:hAnsi="Times New Roman" w:cs="Times New Roman"/>
          <w:b/>
          <w:sz w:val="24"/>
          <w:szCs w:val="24"/>
        </w:rPr>
        <w:t>ow</w:t>
      </w:r>
      <w:r w:rsidR="00604048" w:rsidRPr="00DD6983">
        <w:rPr>
          <w:rFonts w:ascii="Times New Roman" w:hAnsi="Times New Roman" w:cs="Times New Roman"/>
          <w:b/>
          <w:sz w:val="24"/>
          <w:szCs w:val="24"/>
        </w:rPr>
        <w:t xml:space="preserve"> cash budget is used in short-term financial planning</w:t>
      </w:r>
    </w:p>
    <w:p w:rsidR="00EA7935" w:rsidRDefault="00DD6983" w:rsidP="00406B42">
      <w:pPr>
        <w:tabs>
          <w:tab w:val="left" w:pos="10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04048">
        <w:rPr>
          <w:rFonts w:ascii="Times New Roman" w:hAnsi="Times New Roman" w:cs="Times New Roman"/>
          <w:sz w:val="24"/>
          <w:szCs w:val="24"/>
        </w:rPr>
        <w:t>The cash budget is one of the basic tools used in short-term financial planning in order to plan for cash flow.</w:t>
      </w:r>
      <w:r w:rsidR="00E133B2">
        <w:rPr>
          <w:rFonts w:ascii="Times New Roman" w:hAnsi="Times New Roman" w:cs="Times New Roman"/>
          <w:sz w:val="24"/>
          <w:szCs w:val="24"/>
        </w:rPr>
        <w:t xml:space="preserve"> Developing a good cash budget allows the owner to see short-term financial </w:t>
      </w:r>
      <w:r w:rsidR="00E133B2">
        <w:rPr>
          <w:rFonts w:ascii="Times New Roman" w:hAnsi="Times New Roman" w:cs="Times New Roman"/>
          <w:sz w:val="24"/>
          <w:szCs w:val="24"/>
        </w:rPr>
        <w:lastRenderedPageBreak/>
        <w:t xml:space="preserve">needs and opportunities for the business. Through cash budget, owners can state their expected cash inflows and outflows on a monthly basis to calculate their excess cash or cash shortage at the end of every month. Thus, </w:t>
      </w:r>
      <w:r w:rsidR="00B06C7C">
        <w:rPr>
          <w:rFonts w:ascii="Times New Roman" w:hAnsi="Times New Roman" w:cs="Times New Roman"/>
          <w:sz w:val="24"/>
          <w:szCs w:val="24"/>
        </w:rPr>
        <w:t xml:space="preserve">the </w:t>
      </w:r>
      <w:r w:rsidR="00E133B2" w:rsidRPr="00B06C7C">
        <w:rPr>
          <w:rFonts w:ascii="Times New Roman" w:hAnsi="Times New Roman" w:cs="Times New Roman"/>
          <w:noProof/>
          <w:sz w:val="24"/>
          <w:szCs w:val="24"/>
        </w:rPr>
        <w:t>cash</w:t>
      </w:r>
      <w:r w:rsidR="00E133B2">
        <w:rPr>
          <w:rFonts w:ascii="Times New Roman" w:hAnsi="Times New Roman" w:cs="Times New Roman"/>
          <w:sz w:val="24"/>
          <w:szCs w:val="24"/>
        </w:rPr>
        <w:t xml:space="preserve"> budget is very helpful short planning tool for small business owners</w:t>
      </w:r>
      <w:r w:rsidR="00406B42" w:rsidRPr="00406B42">
        <w:rPr>
          <w:rFonts w:ascii="Times New Roman" w:hAnsi="Times New Roman" w:cs="Times New Roman"/>
          <w:sz w:val="24"/>
          <w:szCs w:val="24"/>
        </w:rPr>
        <w:t xml:space="preserve"> </w:t>
      </w:r>
      <w:r w:rsidR="00406B42">
        <w:rPr>
          <w:rFonts w:ascii="Times New Roman" w:hAnsi="Times New Roman" w:cs="Times New Roman"/>
          <w:sz w:val="24"/>
          <w:szCs w:val="24"/>
        </w:rPr>
        <w:t xml:space="preserve">(Means, 2017). </w:t>
      </w:r>
    </w:p>
    <w:p w:rsidR="008C0319" w:rsidRDefault="008C0319" w:rsidP="008C0319">
      <w:pPr>
        <w:tabs>
          <w:tab w:val="left" w:pos="1005"/>
        </w:tabs>
        <w:rPr>
          <w:rFonts w:ascii="Times New Roman" w:hAnsi="Times New Roman" w:cs="Times New Roman"/>
          <w:sz w:val="24"/>
          <w:szCs w:val="24"/>
        </w:rPr>
      </w:pPr>
    </w:p>
    <w:p w:rsidR="000D1315" w:rsidRPr="000D1315" w:rsidRDefault="000D1315" w:rsidP="000D1315">
      <w:pPr>
        <w:jc w:val="center"/>
        <w:rPr>
          <w:rFonts w:ascii="Times New Roman" w:hAnsi="Times New Roman" w:cs="Times New Roman"/>
          <w:sz w:val="24"/>
          <w:szCs w:val="24"/>
        </w:rPr>
      </w:pPr>
    </w:p>
    <w:p w:rsidR="000D1315" w:rsidRDefault="000D1315"/>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Default="00CB634A"/>
    <w:p w:rsidR="00CB634A" w:rsidRPr="008C4383" w:rsidRDefault="008C4383" w:rsidP="008C4383">
      <w:pPr>
        <w:spacing w:line="480" w:lineRule="auto"/>
        <w:jc w:val="center"/>
        <w:rPr>
          <w:rFonts w:ascii="Times New Roman" w:hAnsi="Times New Roman" w:cs="Times New Roman"/>
          <w:b/>
          <w:sz w:val="24"/>
          <w:szCs w:val="24"/>
        </w:rPr>
      </w:pPr>
      <w:r w:rsidRPr="008C4383">
        <w:rPr>
          <w:rFonts w:ascii="Times New Roman" w:hAnsi="Times New Roman" w:cs="Times New Roman"/>
          <w:b/>
          <w:sz w:val="24"/>
          <w:szCs w:val="24"/>
        </w:rPr>
        <w:t>References</w:t>
      </w:r>
    </w:p>
    <w:p w:rsidR="008C4383" w:rsidRPr="008C4383" w:rsidRDefault="008C4383" w:rsidP="008C4383">
      <w:pPr>
        <w:spacing w:line="480" w:lineRule="auto"/>
        <w:ind w:left="720" w:hanging="720"/>
        <w:rPr>
          <w:rFonts w:ascii="Times New Roman" w:hAnsi="Times New Roman" w:cs="Times New Roman"/>
          <w:sz w:val="24"/>
          <w:szCs w:val="24"/>
        </w:rPr>
      </w:pPr>
      <w:r w:rsidRPr="008C4383">
        <w:rPr>
          <w:rFonts w:ascii="Times New Roman" w:hAnsi="Times New Roman" w:cs="Times New Roman"/>
          <w:sz w:val="24"/>
          <w:szCs w:val="24"/>
        </w:rPr>
        <w:t>Brigham, E. F., Ehrhardt, M. C., Nason, R. R., &amp; Gessaroli, J. (2016). </w:t>
      </w:r>
      <w:r w:rsidRPr="008C4383">
        <w:rPr>
          <w:rFonts w:ascii="Times New Roman" w:hAnsi="Times New Roman" w:cs="Times New Roman"/>
          <w:i/>
          <w:iCs/>
          <w:sz w:val="24"/>
          <w:szCs w:val="24"/>
        </w:rPr>
        <w:t>Financial Managment: Theory And Practice, Canadian Edition</w:t>
      </w:r>
      <w:r w:rsidRPr="008C4383">
        <w:rPr>
          <w:rFonts w:ascii="Times New Roman" w:hAnsi="Times New Roman" w:cs="Times New Roman"/>
          <w:sz w:val="24"/>
          <w:szCs w:val="24"/>
        </w:rPr>
        <w:t>. Nelson Education.</w:t>
      </w:r>
    </w:p>
    <w:p w:rsidR="008C4383" w:rsidRPr="008C4383" w:rsidRDefault="008C4383" w:rsidP="008C4383">
      <w:pPr>
        <w:spacing w:line="480" w:lineRule="auto"/>
        <w:ind w:left="720" w:hanging="720"/>
        <w:rPr>
          <w:rFonts w:ascii="Times New Roman" w:hAnsi="Times New Roman" w:cs="Times New Roman"/>
          <w:sz w:val="24"/>
          <w:szCs w:val="24"/>
        </w:rPr>
      </w:pPr>
      <w:r w:rsidRPr="008C4383">
        <w:rPr>
          <w:rFonts w:ascii="Times New Roman" w:hAnsi="Times New Roman" w:cs="Times New Roman"/>
          <w:sz w:val="24"/>
          <w:szCs w:val="24"/>
        </w:rPr>
        <w:t>Manigart, S., &amp; Sapienza, H. (2017). Venture capital and growth. </w:t>
      </w:r>
      <w:r w:rsidRPr="008C4383">
        <w:rPr>
          <w:rFonts w:ascii="Times New Roman" w:hAnsi="Times New Roman" w:cs="Times New Roman"/>
          <w:i/>
          <w:iCs/>
          <w:sz w:val="24"/>
          <w:szCs w:val="24"/>
        </w:rPr>
        <w:t>The Blackwell handbook of entrepreneurship</w:t>
      </w:r>
      <w:r w:rsidRPr="008C4383">
        <w:rPr>
          <w:rFonts w:ascii="Times New Roman" w:hAnsi="Times New Roman" w:cs="Times New Roman"/>
          <w:sz w:val="24"/>
          <w:szCs w:val="24"/>
        </w:rPr>
        <w:t>, 240-258.</w:t>
      </w:r>
    </w:p>
    <w:p w:rsidR="008C4383" w:rsidRPr="008C4383" w:rsidRDefault="008C4383" w:rsidP="008C4383">
      <w:pPr>
        <w:spacing w:line="480" w:lineRule="auto"/>
        <w:ind w:left="720" w:hanging="720"/>
        <w:rPr>
          <w:rFonts w:ascii="Times New Roman" w:hAnsi="Times New Roman" w:cs="Times New Roman"/>
          <w:sz w:val="24"/>
          <w:szCs w:val="24"/>
        </w:rPr>
      </w:pPr>
      <w:r w:rsidRPr="008C4383">
        <w:rPr>
          <w:rFonts w:ascii="Times New Roman" w:hAnsi="Times New Roman" w:cs="Times New Roman"/>
          <w:sz w:val="24"/>
          <w:szCs w:val="24"/>
        </w:rPr>
        <w:t>Means, G. (2017). </w:t>
      </w:r>
      <w:r w:rsidRPr="008C4383">
        <w:rPr>
          <w:rFonts w:ascii="Times New Roman" w:hAnsi="Times New Roman" w:cs="Times New Roman"/>
          <w:i/>
          <w:iCs/>
          <w:sz w:val="24"/>
          <w:szCs w:val="24"/>
        </w:rPr>
        <w:t>The modern corporation and private property</w:t>
      </w:r>
      <w:r w:rsidRPr="008C4383">
        <w:rPr>
          <w:rFonts w:ascii="Times New Roman" w:hAnsi="Times New Roman" w:cs="Times New Roman"/>
          <w:sz w:val="24"/>
          <w:szCs w:val="24"/>
        </w:rPr>
        <w:t>. Routledge.</w:t>
      </w:r>
    </w:p>
    <w:p w:rsidR="008C4383" w:rsidRPr="008C4383" w:rsidRDefault="008C4383" w:rsidP="008C4383">
      <w:pPr>
        <w:spacing w:line="480" w:lineRule="auto"/>
        <w:ind w:left="720" w:hanging="720"/>
        <w:rPr>
          <w:rFonts w:ascii="Times New Roman" w:hAnsi="Times New Roman" w:cs="Times New Roman"/>
          <w:sz w:val="24"/>
          <w:szCs w:val="24"/>
        </w:rPr>
      </w:pPr>
      <w:r w:rsidRPr="008C4383">
        <w:rPr>
          <w:rFonts w:ascii="Times New Roman" w:hAnsi="Times New Roman" w:cs="Times New Roman"/>
          <w:sz w:val="24"/>
          <w:szCs w:val="24"/>
        </w:rPr>
        <w:t>Smith, E. L. (2015). </w:t>
      </w:r>
      <w:r w:rsidRPr="008C4383">
        <w:rPr>
          <w:rFonts w:ascii="Times New Roman" w:hAnsi="Times New Roman" w:cs="Times New Roman"/>
          <w:i/>
          <w:iCs/>
          <w:sz w:val="24"/>
          <w:szCs w:val="24"/>
        </w:rPr>
        <w:t xml:space="preserve">Common stocks as </w:t>
      </w:r>
      <w:r w:rsidRPr="00B06C7C">
        <w:rPr>
          <w:rFonts w:ascii="Times New Roman" w:hAnsi="Times New Roman" w:cs="Times New Roman"/>
          <w:i/>
          <w:iCs/>
          <w:noProof/>
          <w:sz w:val="24"/>
          <w:szCs w:val="24"/>
        </w:rPr>
        <w:t>long</w:t>
      </w:r>
      <w:r w:rsidR="00B06C7C">
        <w:rPr>
          <w:rFonts w:ascii="Times New Roman" w:hAnsi="Times New Roman" w:cs="Times New Roman"/>
          <w:i/>
          <w:iCs/>
          <w:noProof/>
          <w:sz w:val="24"/>
          <w:szCs w:val="24"/>
        </w:rPr>
        <w:t>-</w:t>
      </w:r>
      <w:r w:rsidRPr="00B06C7C">
        <w:rPr>
          <w:rFonts w:ascii="Times New Roman" w:hAnsi="Times New Roman" w:cs="Times New Roman"/>
          <w:i/>
          <w:iCs/>
          <w:noProof/>
          <w:sz w:val="24"/>
          <w:szCs w:val="24"/>
        </w:rPr>
        <w:t>term</w:t>
      </w:r>
      <w:r w:rsidRPr="008C4383">
        <w:rPr>
          <w:rFonts w:ascii="Times New Roman" w:hAnsi="Times New Roman" w:cs="Times New Roman"/>
          <w:i/>
          <w:iCs/>
          <w:sz w:val="24"/>
          <w:szCs w:val="24"/>
        </w:rPr>
        <w:t xml:space="preserve"> investments</w:t>
      </w:r>
      <w:r w:rsidRPr="008C4383">
        <w:rPr>
          <w:rFonts w:ascii="Times New Roman" w:hAnsi="Times New Roman" w:cs="Times New Roman"/>
          <w:sz w:val="24"/>
          <w:szCs w:val="24"/>
        </w:rPr>
        <w:t>. Pickle Partners Publishing.</w:t>
      </w:r>
    </w:p>
    <w:p w:rsidR="008C4383" w:rsidRPr="008C4383" w:rsidRDefault="008C4383" w:rsidP="008C4383">
      <w:pPr>
        <w:spacing w:line="480" w:lineRule="auto"/>
        <w:ind w:left="720" w:hanging="720"/>
        <w:rPr>
          <w:rFonts w:ascii="Times New Roman" w:hAnsi="Times New Roman" w:cs="Times New Roman"/>
          <w:sz w:val="24"/>
          <w:szCs w:val="24"/>
        </w:rPr>
      </w:pPr>
      <w:r w:rsidRPr="008C4383">
        <w:rPr>
          <w:rFonts w:ascii="Times New Roman" w:hAnsi="Times New Roman" w:cs="Times New Roman"/>
          <w:sz w:val="24"/>
          <w:szCs w:val="24"/>
        </w:rPr>
        <w:t>Wang, Y., Ji, Y., Chen, X., &amp; Song, C. (2014). Inflation, operating cycle, and cash holdings. </w:t>
      </w:r>
    </w:p>
    <w:sectPr w:rsidR="008C4383" w:rsidRPr="008C4383" w:rsidSect="00B06C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6CD" w:rsidRDefault="009776CD" w:rsidP="008C0319">
      <w:pPr>
        <w:spacing w:after="0" w:line="240" w:lineRule="auto"/>
      </w:pPr>
      <w:r>
        <w:separator/>
      </w:r>
    </w:p>
  </w:endnote>
  <w:endnote w:type="continuationSeparator" w:id="0">
    <w:p w:rsidR="009776CD" w:rsidRDefault="009776CD" w:rsidP="008C0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6CD" w:rsidRDefault="009776CD" w:rsidP="008C0319">
      <w:pPr>
        <w:spacing w:after="0" w:line="240" w:lineRule="auto"/>
      </w:pPr>
      <w:r>
        <w:separator/>
      </w:r>
    </w:p>
  </w:footnote>
  <w:footnote w:type="continuationSeparator" w:id="0">
    <w:p w:rsidR="009776CD" w:rsidRDefault="009776CD" w:rsidP="008C03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454040"/>
      <w:docPartObj>
        <w:docPartGallery w:val="Page Numbers (Top of Page)"/>
        <w:docPartUnique/>
      </w:docPartObj>
    </w:sdtPr>
    <w:sdtEndPr>
      <w:rPr>
        <w:noProof/>
      </w:rPr>
    </w:sdtEndPr>
    <w:sdtContent>
      <w:p w:rsidR="00B06C7C" w:rsidRDefault="00B06C7C" w:rsidP="00B06C7C">
        <w:pPr>
          <w:pStyle w:val="Header"/>
          <w:ind w:firstLine="720"/>
          <w:jc w:val="right"/>
        </w:pPr>
        <w:r>
          <w:t xml:space="preserve">QUESTION AND ANSWER                                                                                                                              </w:t>
        </w:r>
        <w:r>
          <w:fldChar w:fldCharType="begin"/>
        </w:r>
        <w:r>
          <w:instrText xml:space="preserve"> PAGE   \* MERGEFORMAT </w:instrText>
        </w:r>
        <w:r>
          <w:fldChar w:fldCharType="separate"/>
        </w:r>
        <w:r w:rsidR="001D3180">
          <w:rPr>
            <w:noProof/>
          </w:rPr>
          <w:t>4</w:t>
        </w:r>
        <w:r>
          <w:rPr>
            <w:noProof/>
          </w:rPr>
          <w:fldChar w:fldCharType="end"/>
        </w:r>
      </w:p>
    </w:sdtContent>
  </w:sdt>
  <w:p w:rsidR="00B06C7C" w:rsidRDefault="00B06C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C7C" w:rsidRDefault="00B06C7C">
    <w:pPr>
      <w:pStyle w:val="Header"/>
    </w:pPr>
    <w:r>
      <w:t>Running head: QUESTION AND ANSWER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xMjAyNTI2MjY0MzBV0lEKTi0uzszPAykwqgUAerKksywAAAA="/>
  </w:docVars>
  <w:rsids>
    <w:rsidRoot w:val="000D1315"/>
    <w:rsid w:val="000D1315"/>
    <w:rsid w:val="000E4302"/>
    <w:rsid w:val="00195D2F"/>
    <w:rsid w:val="001C762C"/>
    <w:rsid w:val="001D3180"/>
    <w:rsid w:val="001D36BC"/>
    <w:rsid w:val="0021500A"/>
    <w:rsid w:val="004002B9"/>
    <w:rsid w:val="00406B42"/>
    <w:rsid w:val="00494669"/>
    <w:rsid w:val="004B1F85"/>
    <w:rsid w:val="00517B78"/>
    <w:rsid w:val="00604048"/>
    <w:rsid w:val="006046AA"/>
    <w:rsid w:val="00652AB2"/>
    <w:rsid w:val="00681D3D"/>
    <w:rsid w:val="007B4862"/>
    <w:rsid w:val="007F18D9"/>
    <w:rsid w:val="008C0319"/>
    <w:rsid w:val="008C4383"/>
    <w:rsid w:val="00934E88"/>
    <w:rsid w:val="009776CD"/>
    <w:rsid w:val="009C16AE"/>
    <w:rsid w:val="00A535C4"/>
    <w:rsid w:val="00AF7F5C"/>
    <w:rsid w:val="00B06C7C"/>
    <w:rsid w:val="00B8615F"/>
    <w:rsid w:val="00BF12AD"/>
    <w:rsid w:val="00C4043D"/>
    <w:rsid w:val="00C952DF"/>
    <w:rsid w:val="00CA1CC3"/>
    <w:rsid w:val="00CB634A"/>
    <w:rsid w:val="00CD17E0"/>
    <w:rsid w:val="00CE117E"/>
    <w:rsid w:val="00D71C63"/>
    <w:rsid w:val="00DC6A2C"/>
    <w:rsid w:val="00DD6983"/>
    <w:rsid w:val="00E133B2"/>
    <w:rsid w:val="00EA7935"/>
    <w:rsid w:val="00F4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AF74BB-F7F6-4A51-A8BE-10A0EAB2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319"/>
  </w:style>
  <w:style w:type="paragraph" w:styleId="Footer">
    <w:name w:val="footer"/>
    <w:basedOn w:val="Normal"/>
    <w:link w:val="FooterChar"/>
    <w:uiPriority w:val="99"/>
    <w:unhideWhenUsed/>
    <w:rsid w:val="008C0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2018-12-16T14:26:00Z</dcterms:created>
  <dcterms:modified xsi:type="dcterms:W3CDTF">2018-12-16T14:26:00Z</dcterms:modified>
</cp:coreProperties>
</file>